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5F" w:rsidRPr="00AD5900" w:rsidRDefault="0022145F">
      <w:pPr>
        <w:rPr>
          <w:rFonts w:ascii="Georgia" w:hAnsi="Georgia"/>
          <w:b/>
          <w:color w:val="000000" w:themeColor="text1"/>
          <w:lang w:val="mk-MK"/>
        </w:rPr>
      </w:pPr>
    </w:p>
    <w:p w:rsidR="0022145F" w:rsidRPr="00AD5900" w:rsidRDefault="0022145F" w:rsidP="00327658">
      <w:pPr>
        <w:jc w:val="center"/>
        <w:rPr>
          <w:rFonts w:ascii="Georgia" w:hAnsi="Georgia"/>
          <w:b/>
          <w:color w:val="000000" w:themeColor="text1"/>
          <w:sz w:val="32"/>
          <w:szCs w:val="32"/>
          <w:lang w:val="mk-MK"/>
        </w:rPr>
      </w:pPr>
    </w:p>
    <w:p w:rsidR="0022145F" w:rsidRPr="00AD5900" w:rsidRDefault="0022145F" w:rsidP="00327658">
      <w:pPr>
        <w:jc w:val="center"/>
        <w:rPr>
          <w:rFonts w:ascii="Georgia" w:hAnsi="Georgia"/>
          <w:b/>
          <w:color w:val="000000" w:themeColor="text1"/>
          <w:sz w:val="32"/>
          <w:szCs w:val="32"/>
          <w:lang w:val="mk-MK"/>
        </w:rPr>
      </w:pPr>
    </w:p>
    <w:p w:rsidR="0022145F" w:rsidRPr="00AD5900" w:rsidRDefault="0022145F" w:rsidP="00327658">
      <w:pPr>
        <w:jc w:val="center"/>
        <w:rPr>
          <w:rFonts w:ascii="Georgia" w:hAnsi="Georgia"/>
          <w:b/>
          <w:color w:val="000000" w:themeColor="text1"/>
          <w:sz w:val="32"/>
          <w:szCs w:val="32"/>
          <w:lang w:val="mk-MK"/>
        </w:rPr>
      </w:pPr>
    </w:p>
    <w:p w:rsidR="0022145F" w:rsidRPr="00AD5900" w:rsidRDefault="0022145F" w:rsidP="00327658">
      <w:pPr>
        <w:jc w:val="center"/>
        <w:rPr>
          <w:rFonts w:ascii="Georgia" w:hAnsi="Georgia"/>
          <w:b/>
          <w:color w:val="000000" w:themeColor="text1"/>
          <w:sz w:val="32"/>
          <w:szCs w:val="32"/>
          <w:lang w:val="mk-MK"/>
        </w:rPr>
      </w:pPr>
    </w:p>
    <w:p w:rsidR="0022145F" w:rsidRPr="00AD5900" w:rsidRDefault="0022145F" w:rsidP="00327658">
      <w:pPr>
        <w:jc w:val="center"/>
        <w:rPr>
          <w:rFonts w:ascii="Georgia" w:hAnsi="Georgia"/>
          <w:b/>
          <w:color w:val="000000" w:themeColor="text1"/>
          <w:sz w:val="32"/>
          <w:szCs w:val="32"/>
          <w:lang w:val="mk-MK"/>
        </w:rPr>
      </w:pPr>
    </w:p>
    <w:p w:rsidR="0022145F" w:rsidRPr="00AD5900" w:rsidRDefault="0022145F" w:rsidP="00327658">
      <w:pPr>
        <w:jc w:val="center"/>
        <w:rPr>
          <w:rFonts w:ascii="Georgia" w:hAnsi="Georgia"/>
          <w:b/>
          <w:color w:val="000000" w:themeColor="text1"/>
          <w:sz w:val="32"/>
          <w:szCs w:val="32"/>
          <w:lang w:val="mk-MK"/>
        </w:rPr>
      </w:pPr>
    </w:p>
    <w:p w:rsidR="0022145F" w:rsidRPr="00AD5900" w:rsidRDefault="0022145F" w:rsidP="00327658">
      <w:pPr>
        <w:jc w:val="center"/>
        <w:rPr>
          <w:rFonts w:ascii="Georgia" w:hAnsi="Georgia"/>
          <w:b/>
          <w:bCs/>
          <w:color w:val="000000" w:themeColor="text1"/>
          <w:sz w:val="32"/>
          <w:szCs w:val="32"/>
          <w:lang w:val="mk-MK"/>
        </w:rPr>
      </w:pPr>
      <w:r w:rsidRPr="00AD5900">
        <w:rPr>
          <w:rFonts w:ascii="Georgia" w:hAnsi="Georgia"/>
          <w:b/>
          <w:color w:val="000000" w:themeColor="text1"/>
          <w:sz w:val="32"/>
          <w:szCs w:val="32"/>
          <w:lang w:val="mk-MK"/>
        </w:rPr>
        <w:t xml:space="preserve">Резолуција на Европскиот парламент од 14 јуни 2017 година за Извештајот на Комисијата за Република Македонија од  2016 година </w:t>
      </w:r>
      <w:r w:rsidRPr="00AD5900">
        <w:rPr>
          <w:rFonts w:ascii="Georgia" w:hAnsi="Georgia"/>
          <w:b/>
          <w:bCs/>
          <w:color w:val="000000" w:themeColor="text1"/>
          <w:sz w:val="32"/>
          <w:szCs w:val="32"/>
          <w:lang w:val="mk-MK"/>
        </w:rPr>
        <w:t>(</w:t>
      </w:r>
      <w:r w:rsidRPr="00AD5900">
        <w:rPr>
          <w:rFonts w:ascii="Georgia" w:hAnsi="Georgia" w:cs="Arial"/>
          <w:b/>
          <w:bCs/>
          <w:color w:val="000000" w:themeColor="text1"/>
          <w:sz w:val="32"/>
          <w:szCs w:val="32"/>
          <w:shd w:val="clear" w:color="auto" w:fill="FFFFFF"/>
          <w:lang w:val="mk-MK"/>
        </w:rPr>
        <w:t>2016/2310(INI)</w:t>
      </w:r>
      <w:r w:rsidRPr="00AD5900">
        <w:rPr>
          <w:rFonts w:ascii="Georgia" w:hAnsi="Georgia"/>
          <w:b/>
          <w:bCs/>
          <w:color w:val="000000" w:themeColor="text1"/>
          <w:sz w:val="32"/>
          <w:szCs w:val="32"/>
          <w:lang w:val="mk-MK"/>
        </w:rPr>
        <w:t>)</w:t>
      </w:r>
      <w:r w:rsidR="00AD5900" w:rsidRPr="00AD5900">
        <w:rPr>
          <w:rStyle w:val="FootnoteReference"/>
          <w:rFonts w:ascii="Georgia" w:hAnsi="Georgia"/>
          <w:i/>
          <w:iCs/>
          <w:color w:val="000000" w:themeColor="text1"/>
          <w:lang w:val="mk-MK"/>
        </w:rPr>
        <w:t xml:space="preserve"> </w:t>
      </w:r>
      <w:r w:rsidR="00AD5900" w:rsidRPr="00AD5900">
        <w:rPr>
          <w:rStyle w:val="FootnoteReference"/>
          <w:rFonts w:ascii="Georgia" w:hAnsi="Georgia"/>
          <w:i/>
          <w:iCs/>
          <w:color w:val="000000" w:themeColor="text1"/>
          <w:lang w:val="mk-MK"/>
        </w:rPr>
        <w:footnoteReference w:id="1"/>
      </w:r>
    </w:p>
    <w:p w:rsidR="0022145F" w:rsidRPr="00AD5900" w:rsidRDefault="0022145F" w:rsidP="00327658">
      <w:pPr>
        <w:jc w:val="center"/>
        <w:rPr>
          <w:rFonts w:ascii="Georgia" w:hAnsi="Georgia"/>
          <w:b/>
          <w:color w:val="000000" w:themeColor="text1"/>
          <w:lang w:val="mk-MK"/>
        </w:rPr>
      </w:pPr>
    </w:p>
    <w:p w:rsidR="0022145F" w:rsidRPr="00AD5900" w:rsidRDefault="0022145F" w:rsidP="00327658">
      <w:pPr>
        <w:jc w:val="center"/>
        <w:rPr>
          <w:rFonts w:ascii="Georgia" w:hAnsi="Georgia"/>
          <w:b/>
          <w:color w:val="000000" w:themeColor="text1"/>
          <w:lang w:val="mk-MK"/>
        </w:rPr>
      </w:pPr>
    </w:p>
    <w:p w:rsidR="0022145F" w:rsidRPr="00AD5900" w:rsidRDefault="0022145F">
      <w:pPr>
        <w:rPr>
          <w:rFonts w:ascii="Georgia" w:hAnsi="Georgia"/>
          <w:b/>
          <w:color w:val="000000" w:themeColor="text1"/>
          <w:lang w:val="mk-MK"/>
        </w:rPr>
      </w:pPr>
    </w:p>
    <w:p w:rsidR="0022145F" w:rsidRPr="00AD5900" w:rsidRDefault="0022145F">
      <w:pPr>
        <w:rPr>
          <w:rFonts w:ascii="Georgia" w:hAnsi="Georgia"/>
          <w:b/>
          <w:color w:val="000000" w:themeColor="text1"/>
          <w:lang w:val="mk-MK"/>
        </w:rPr>
      </w:pPr>
    </w:p>
    <w:p w:rsidR="0022145F" w:rsidRPr="00AD5900" w:rsidRDefault="0022145F">
      <w:pPr>
        <w:rPr>
          <w:rFonts w:ascii="Georgia" w:hAnsi="Georgia"/>
          <w:b/>
          <w:color w:val="000000" w:themeColor="text1"/>
          <w:lang w:val="mk-MK"/>
        </w:rPr>
      </w:pPr>
    </w:p>
    <w:p w:rsidR="0022145F" w:rsidRPr="00AD5900" w:rsidRDefault="0022145F">
      <w:pPr>
        <w:rPr>
          <w:rFonts w:ascii="Georgia" w:hAnsi="Georgia"/>
          <w:b/>
          <w:color w:val="000000" w:themeColor="text1"/>
          <w:lang w:val="mk-MK"/>
        </w:rPr>
      </w:pPr>
    </w:p>
    <w:p w:rsidR="0022145F" w:rsidRDefault="0022145F">
      <w:pPr>
        <w:rPr>
          <w:rFonts w:ascii="Georgia" w:hAnsi="Georgia"/>
          <w:b/>
          <w:color w:val="000000" w:themeColor="text1"/>
          <w:lang w:val="mk-MK"/>
        </w:rPr>
      </w:pPr>
    </w:p>
    <w:p w:rsidR="00AD5900" w:rsidRDefault="00AD5900">
      <w:pPr>
        <w:rPr>
          <w:rFonts w:ascii="Georgia" w:hAnsi="Georgia"/>
          <w:b/>
          <w:color w:val="000000" w:themeColor="text1"/>
          <w:lang w:val="mk-MK"/>
        </w:rPr>
      </w:pPr>
    </w:p>
    <w:p w:rsidR="00AD5900" w:rsidRDefault="00AD5900">
      <w:pPr>
        <w:rPr>
          <w:rFonts w:ascii="Georgia" w:hAnsi="Georgia"/>
          <w:b/>
          <w:color w:val="000000" w:themeColor="text1"/>
          <w:lang w:val="mk-MK"/>
        </w:rPr>
      </w:pPr>
    </w:p>
    <w:p w:rsidR="00AD5900" w:rsidRDefault="00AD5900">
      <w:pPr>
        <w:rPr>
          <w:rFonts w:ascii="Georgia" w:hAnsi="Georgia"/>
          <w:b/>
          <w:color w:val="000000" w:themeColor="text1"/>
          <w:lang w:val="mk-MK"/>
        </w:rPr>
      </w:pPr>
    </w:p>
    <w:p w:rsidR="00AD5900" w:rsidRDefault="00AD5900">
      <w:pPr>
        <w:rPr>
          <w:rFonts w:ascii="Georgia" w:hAnsi="Georgia"/>
          <w:b/>
          <w:color w:val="000000" w:themeColor="text1"/>
          <w:lang w:val="mk-MK"/>
        </w:rPr>
      </w:pPr>
    </w:p>
    <w:p w:rsidR="00AD5900" w:rsidRDefault="00AD5900">
      <w:pPr>
        <w:rPr>
          <w:rFonts w:ascii="Georgia" w:hAnsi="Georgia"/>
          <w:b/>
          <w:color w:val="000000" w:themeColor="text1"/>
          <w:lang w:val="mk-MK"/>
        </w:rPr>
      </w:pPr>
    </w:p>
    <w:p w:rsidR="00AD5900" w:rsidRDefault="00AD5900">
      <w:pPr>
        <w:rPr>
          <w:rFonts w:ascii="Georgia" w:hAnsi="Georgia"/>
          <w:b/>
          <w:color w:val="000000" w:themeColor="text1"/>
          <w:lang w:val="mk-MK"/>
        </w:rPr>
      </w:pPr>
    </w:p>
    <w:p w:rsidR="00AD5900" w:rsidRPr="00AD5900" w:rsidRDefault="00AD5900">
      <w:pPr>
        <w:rPr>
          <w:rFonts w:ascii="Georgia" w:hAnsi="Georgia"/>
          <w:b/>
          <w:color w:val="000000" w:themeColor="text1"/>
          <w:lang w:val="mk-MK"/>
        </w:rPr>
      </w:pPr>
    </w:p>
    <w:p w:rsidR="0022145F" w:rsidRPr="00AD5900" w:rsidRDefault="0022145F">
      <w:pPr>
        <w:rPr>
          <w:rFonts w:ascii="Georgia" w:hAnsi="Georgia"/>
          <w:b/>
          <w:bCs/>
          <w:color w:val="000000" w:themeColor="text1"/>
          <w:lang w:val="mk-MK"/>
        </w:rPr>
      </w:pPr>
      <w:r w:rsidRPr="00AD5900">
        <w:rPr>
          <w:rFonts w:ascii="Georgia" w:hAnsi="Georgia"/>
          <w:b/>
          <w:color w:val="000000" w:themeColor="text1"/>
          <w:lang w:val="mk-MK"/>
        </w:rPr>
        <w:lastRenderedPageBreak/>
        <w:t xml:space="preserve">Резолуција на Европскиот парламент од 14 јуни 2017 година за Извештајот на Комисијата за Република Македонија од  2016 година </w:t>
      </w:r>
      <w:r w:rsidRPr="00AD5900">
        <w:rPr>
          <w:rFonts w:ascii="Georgia" w:hAnsi="Georgia"/>
          <w:b/>
          <w:bCs/>
          <w:color w:val="000000" w:themeColor="text1"/>
          <w:lang w:val="mk-MK"/>
        </w:rPr>
        <w:t>(</w:t>
      </w:r>
      <w:r w:rsidRPr="00AD5900">
        <w:rPr>
          <w:rFonts w:ascii="Georgia" w:hAnsi="Georgia" w:cs="Arial"/>
          <w:b/>
          <w:bCs/>
          <w:color w:val="000000" w:themeColor="text1"/>
          <w:sz w:val="18"/>
          <w:szCs w:val="18"/>
          <w:shd w:val="clear" w:color="auto" w:fill="FFFFFF"/>
          <w:lang w:val="mk-MK"/>
        </w:rPr>
        <w:t>2016/2310(INI)</w:t>
      </w:r>
      <w:r w:rsidRPr="00AD5900">
        <w:rPr>
          <w:rFonts w:ascii="Georgia" w:hAnsi="Georgia"/>
          <w:b/>
          <w:bCs/>
          <w:color w:val="000000" w:themeColor="text1"/>
          <w:lang w:val="mk-MK"/>
        </w:rPr>
        <w:t>)</w:t>
      </w:r>
    </w:p>
    <w:p w:rsidR="0022145F" w:rsidRPr="00AD5900" w:rsidRDefault="0022145F">
      <w:pPr>
        <w:rPr>
          <w:rFonts w:ascii="Georgia" w:hAnsi="Georgia"/>
          <w:i/>
          <w:color w:val="000000" w:themeColor="text1"/>
          <w:lang w:val="mk-MK"/>
        </w:rPr>
      </w:pPr>
      <w:r w:rsidRPr="00AD5900">
        <w:rPr>
          <w:rFonts w:ascii="Georgia" w:hAnsi="Georgia"/>
          <w:i/>
          <w:color w:val="000000" w:themeColor="text1"/>
          <w:lang w:val="mk-MK"/>
        </w:rPr>
        <w:t>Европскиот Парламент,</w:t>
      </w:r>
    </w:p>
    <w:p w:rsidR="0022145F" w:rsidRPr="00AD5900" w:rsidRDefault="0022145F" w:rsidP="00AC50E7">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ги предвид заклучоците на Претседателството од состанокот на Европскиот совет во Солун на 19 и 20 јуни 2003 година во врска со перспективите на земјите од Западен Балкан за приклучување во Унијата,</w:t>
      </w:r>
    </w:p>
    <w:p w:rsidR="0022145F" w:rsidRPr="00AD5900" w:rsidRDefault="0022145F" w:rsidP="00AC50E7">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го предвид Договорот за стабилизација и асоцијација меѓу Европските заедници и нивните земји-членки, од една страна, и Република Македонија, од друга</w:t>
      </w:r>
      <w:r w:rsidRPr="00AD5900">
        <w:rPr>
          <w:rFonts w:ascii="Georgia" w:hAnsi="Georgia"/>
          <w:color w:val="000000" w:themeColor="text1"/>
          <w:vertAlign w:val="superscript"/>
          <w:lang w:val="mk-MK"/>
        </w:rPr>
        <w:t>(1)</w:t>
      </w:r>
      <w:r w:rsidRPr="00AD5900">
        <w:rPr>
          <w:rFonts w:ascii="Georgia" w:hAnsi="Georgia"/>
          <w:color w:val="000000" w:themeColor="text1"/>
          <w:lang w:val="mk-MK"/>
        </w:rPr>
        <w:t>,</w:t>
      </w:r>
    </w:p>
    <w:p w:rsidR="0022145F" w:rsidRPr="00AD5900" w:rsidRDefault="0022145F" w:rsidP="00AC50E7">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го предвид Рамковниот договор склучен во Охрид и потпишан во Скопје на 13 август 2001 година (Охридскиот рамковен договор, „ОРД“),</w:t>
      </w:r>
    </w:p>
    <w:p w:rsidR="0022145F" w:rsidRPr="00AD5900" w:rsidRDefault="0022145F" w:rsidP="00AC50E7">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ја предвид одлуката на Европскиот совет од 16 декември 2005 година да и се додели на земјата статус на кандидат за членство во ЕУ, заклучоците на Европскиот совет од јуни 2008 година, заклучоците на Советот од декември 2008 година, декември 2012 година, декември 2014 и декември 2015 година, и заклучоците на Претседателството од 13 декември 2016 година, земјата доби поддршката од мнозинството делегации и прикажа недвосмислена и силна посветеност на процесот на пристапување во ЕУ,</w:t>
      </w:r>
    </w:p>
    <w:p w:rsidR="0022145F" w:rsidRPr="00AD5900" w:rsidRDefault="0022145F" w:rsidP="00AC50E7">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го предвид тринаесеттиот состанок на Комисијата за стабилизација и асоцијација меѓу земјата и Комисијата, што се одржа во Скопје на 15 јуни 2016 година,</w:t>
      </w:r>
    </w:p>
    <w:p w:rsidR="0022145F" w:rsidRPr="00AD5900" w:rsidRDefault="0022145F" w:rsidP="006F0237">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ја предвид комуникацијата на Комисијата од 9 ноември 2016 насловена „Политика за проширување на ЕУ“ (</w:t>
      </w:r>
      <w:r w:rsidRPr="00AD5900">
        <w:rPr>
          <w:rFonts w:ascii="Georgia" w:hAnsi="Georgia"/>
          <w:b/>
          <w:color w:val="000000" w:themeColor="text1"/>
          <w:lang w:val="mk-MK"/>
        </w:rPr>
        <w:t>COM(2016)0715</w:t>
      </w:r>
      <w:r w:rsidRPr="00AD5900">
        <w:rPr>
          <w:rFonts w:ascii="Georgia" w:hAnsi="Georgia"/>
          <w:color w:val="000000" w:themeColor="text1"/>
          <w:lang w:val="mk-MK"/>
        </w:rPr>
        <w:t>) и работниот документ на службата на Комисијата, насловен како „Извештај за Република Македонија 2016“ (SWD(2016)0362),</w:t>
      </w:r>
    </w:p>
    <w:p w:rsidR="0022145F" w:rsidRPr="00AD5900" w:rsidRDefault="0022145F" w:rsidP="006F0237">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го предвид Специјалниот извештај на Европскиот ревизорски суд за Република Македонија од јуни 2016 година,</w:t>
      </w:r>
    </w:p>
    <w:p w:rsidR="0022145F" w:rsidRPr="00AD5900" w:rsidRDefault="0022145F" w:rsidP="006F0237">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ги предвид Итните реформски приоритети на Комисијата за Република Македонија од јуни 2015 година,</w:t>
      </w:r>
    </w:p>
    <w:p w:rsidR="0022145F" w:rsidRPr="00AD5900" w:rsidRDefault="0022145F" w:rsidP="0060208E">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ги предвид препораките на групата на високи експерти за системски проблеми во врска со владеењето на правото кои се однесуваат на прислушуваните разговори откриени пролетта 2015 година,</w:t>
      </w:r>
    </w:p>
    <w:p w:rsidR="0022145F" w:rsidRPr="00AD5900" w:rsidRDefault="0022145F" w:rsidP="0060208E">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го предвид политичкиот договор (т.н. „Договорот од Пржино“) постигнат меѓу четирите најголеми политички партии на 2 јуни и 15 јули 2015 година во Скопје, и договорот на четирите партии за негово спроведување од 20 јули и 31 август 2016 година,</w:t>
      </w:r>
    </w:p>
    <w:p w:rsidR="0022145F" w:rsidRPr="00AD5900" w:rsidRDefault="0022145F" w:rsidP="0060208E">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ги предвид Финалната декларација на претседателот од Самитот за Западен Балкан од 4 јули 2016 година во Париз и препораките на организациите на граѓанското општество за Самитот во Париз од 2016 година,</w:t>
      </w:r>
    </w:p>
    <w:p w:rsidR="0022145F" w:rsidRPr="00AD5900" w:rsidRDefault="0022145F" w:rsidP="0060208E">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ги предвид  прелиминарните наоди и заклучоци и конечниот извештај на ОБСЕ / ОДИХР во врска со предвремените парламентарни избори од 11 декември 2016 година,</w:t>
      </w:r>
    </w:p>
    <w:p w:rsidR="0022145F" w:rsidRPr="00AD5900" w:rsidRDefault="0022145F" w:rsidP="0060208E">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lastRenderedPageBreak/>
        <w:t>имајќи ги предвид резолуциите 817 (1993) и 845 (1993) на Советот за безбедност на ОН, како и резолуцијата 47/225 на Генералното собрание на ОН и Времената спогодба од 13 септември 1995 година,</w:t>
      </w:r>
    </w:p>
    <w:p w:rsidR="0022145F" w:rsidRPr="00AD5900" w:rsidRDefault="0022145F" w:rsidP="0060208E">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ја предвид пресудата на Меѓународниот суд на правдата за примена на Времената спогодба од 13 септември 1995 година,</w:t>
      </w:r>
    </w:p>
    <w:p w:rsidR="0022145F" w:rsidRPr="00AD5900" w:rsidRDefault="0022145F" w:rsidP="0060208E">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ги предвид претходните резолуции за земјата,</w:t>
      </w:r>
    </w:p>
    <w:p w:rsidR="0022145F" w:rsidRPr="00AD5900" w:rsidRDefault="0022145F" w:rsidP="0060208E">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го предвид член 52 од Деловникот за работа,</w:t>
      </w:r>
    </w:p>
    <w:p w:rsidR="0022145F" w:rsidRPr="00AD5900" w:rsidRDefault="0022145F" w:rsidP="0060208E">
      <w:pPr>
        <w:pStyle w:val="ListParagraph"/>
        <w:numPr>
          <w:ilvl w:val="0"/>
          <w:numId w:val="1"/>
        </w:numPr>
        <w:jc w:val="both"/>
        <w:rPr>
          <w:rFonts w:ascii="Georgia" w:hAnsi="Georgia"/>
          <w:color w:val="000000" w:themeColor="text1"/>
          <w:lang w:val="mk-MK"/>
        </w:rPr>
      </w:pPr>
      <w:r w:rsidRPr="00AD5900">
        <w:rPr>
          <w:rFonts w:ascii="Georgia" w:hAnsi="Georgia"/>
          <w:color w:val="000000" w:themeColor="text1"/>
          <w:lang w:val="mk-MK"/>
        </w:rPr>
        <w:t>имајќи го предвид извештајот на Комисијата за надворешни работи (A8-0055/2017),</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А. со оглед на тоа што по две одложувања, предвремените парламентарни избори во Република Македонија се одржаа на 11 декември 2016 година во вообичаена и мирна атмосфера, во согласност со меѓународните стандарди и во согласност со препораките на ОБСЕ/ОДИХР при што поминаа без поголеми инциденти, генерално беа добро организирани и одѕивот на гласачите беше висок;</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Б. со оглед на тоа што реформите и подготовките за пристапување се отежнати поради политичката поларизација, длабока меѓусебна недоверба и недостаток на вистински дијалог меѓу партиите; со оглед на тоа што постојано се забележува назадување во некои важни области; со оглед на тоа што демократијата и владеењето на правото постојано се соочуваат со предизвици, особено како резултат на заробувањето на државата што влијаеше врз функционирањето на демократските институции и клучните области во општеството;</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В. со оглед на тоа што на 27 април 2017 година, Талат Џафери беше избран за нов претседател на Собранието на Република Македонија; со оглед на тоа што на 17 мај 2017 година, претседателот на Република Македонија му го додели мандатот за формирање на новата влада на лидерот на СДСМ, Зоран Заев; со оглед на тоа што на 31 мај 2017 година, новата влада предводена од премиерот Зоран Заев беше изгласана од страна на Собранието на Република Македонија;</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Г. со оглед на тоа што некои од клучните прашања во процесот на реформи вклучуваат реформи во судството, јавната администрација и медиумите, невработеност на младите и преглед на имплементацијата на ОРД;</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Д. со оглед на тоа што е потребна сериозна посветеност од сите политички сили во земјата за да продолжи да ја спроведува својата интеграција во ЕУ и евроатлантска интеграција; со оглед на тоа што новата влада мора да усвои и целосно да спроведе силни реформи кои ќе донесат конкретни резултати, особено во областите на владеењето на правото, судството, корупцијата, основните права, внатрешните работи и добрососедските односи;</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Ѓ. со оглед на тоа што постои согласност меѓу Комисијата, Советот и Парламентот дека одржувањето на позитивни препораки за отворање на пристапните преговори со земјата зависи од напредокот поврзан со спроведувањето на Договорот од Пржино и значителен напредок во спроведувањето на Итните реформски приоритети;</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lastRenderedPageBreak/>
        <w:t>Е. со оглед на тоа што Советот го блокира напредокот поради нерешениот спор околу името со Грција; со оглед на тоа што билатералните прашања не смеат да се користат како изговор за да се попречи брз почеток на преговорите со ЕУ;</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Ж. со оглед на тоа што билатералните спорови не треба да се користат за да се попречи процесот на пристапување во ЕУ, ниту отворањето на пристапните преговори, туку треба да се решат на  конструктивен начин и во согласност со стандардите на ЕУ и ОН; со оглед на тоа што треба да се вложат сите напори за одржување на добрососедски и меѓуетнички односи;</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 xml:space="preserve">З. со оглед на тоа што (потенцијалните) земји кандидатки се оценуваат врз основа на сопствените заслуги, а брзината и квалитетот на потребните реформи ќе ја утврдат временската рамка за пристапување; со оглед на тоа што отворањето на пристапните преговори треба да се загарантира откако ќе се исполнат потребните услови; со оглед на тоа што земјата со години се смета за една од земјите кандидаткии за членство во ЕУ која остварила најголем напредок во однос на усогласеноста со </w:t>
      </w:r>
      <w:r w:rsidRPr="00AD5900">
        <w:rPr>
          <w:rFonts w:ascii="Georgia" w:hAnsi="Georgia"/>
          <w:i/>
          <w:color w:val="000000" w:themeColor="text1"/>
          <w:lang w:val="mk-MK"/>
        </w:rPr>
        <w:t>acquis</w:t>
      </w:r>
      <w:r w:rsidRPr="00AD5900">
        <w:rPr>
          <w:rFonts w:ascii="Georgia" w:hAnsi="Georgia"/>
          <w:color w:val="000000" w:themeColor="text1"/>
          <w:lang w:val="mk-MK"/>
        </w:rPr>
        <w:t>;</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Ѕ. со оглед на тоа што процесот на пристапување во ЕУ е главен поттик за понатамошни реформи, особено во однос на владеењето на правото, независноста на судството, борбата против корупцијата и слободата на медиумите; со оглед на тоа што регионалната соработка и добрососедските односи се суштински елементи на процесот на проширување, процесот за стабилизација и асоцијација и процесот на пристапување на земјата;</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И. со оглед на тоа што на 20 јули и 31 август 2016 лидерите на четирите најголеми политички партии постигнаа согласност за спроведување на Договорот од Пржино, при што го одредија 11 декември 2016 година за датум за предвремени парламентарни избори и изразија поддршка за работата на Специјалното јавно обвинителство; со оглед на тоа што тие ја нагласија и својата заложба за спроведување на „Итните реформски приоритети“;</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Ј. со оглед на тоа што неодамнешната политичка криза укажа на недостатокот на ефикасен систем на проверка и рамнотежа во македонските институции и потребата за зголемување на транспарентноста и отчетноста;</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К. со оглед на тоа што борбата против организираниот криминал и корупцијата и понатаму се од фундаментално значење за борбата против инфилтрација на криминалот во политичките, правните и економските системи;</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1. Го поздравува формирањето на нова влада на 31 мај 2017 година; ги повикува сите политички партии да се однесуваат во духот на помирувањето, за заеднички интерес на сите граѓани и да работат со владата за враќање на довербата во државата и нејзините институции, вклучувајќи ја и целосната имплементација на Договорот од Пржино и Итните реформски приоритети;</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 xml:space="preserve">2. Го поздравува почитувањето на фундаменталните слободи што беа прикажани на предвремените избори на 11 декември 2016 година, кои беа добро организирани, се </w:t>
      </w:r>
      <w:r w:rsidRPr="00AD5900">
        <w:rPr>
          <w:rFonts w:ascii="Georgia" w:hAnsi="Georgia"/>
          <w:color w:val="000000" w:themeColor="text1"/>
          <w:lang w:val="mk-MK"/>
        </w:rPr>
        <w:lastRenderedPageBreak/>
        <w:t>одржаа на транспарентен и инклузивен начин и поминаа без поголеми инциденти; напоменува дека ОБСЕ/ОДИХР смета дека изборите беа конкурентни; го поздравува фактот дека сите политички партии ги прифатија резултатите во интерес на стабилноста на земјата и ја нагласува нивната одговорност да обезбедат дека нема да има продлабочување на политичка криза; ги повикува сите партии да се воздржат од какви било опструкции на ефикасното функционирање на Парламентот; ја повикува новата влада брзо да продолжи со неопходните реформи за да обезбеди евро-атлантската интеграција на земјата и да ги унапреди своите европски перспективи за доброто на граѓаните;  смета дека соработката меѓу партиите и етничките заедници е клучна за решавањето на непосредните домашни и ЕУ-предизвици, како и за одржување на позитивна препорака за отворање на пристапните преговори со ЕУ;</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3. Го поздравува подобрувања во изборниот процес, вклучувајќи ја и правната рамка, избирачкиот список и медиумската покриеност; го поздравува фактот дека претставниците на граѓанското општество ги набљудуваа изборите во голем дел од избирачките места; ги повикува надлежните органи, имајќи ги предвид и локалните избори одржани во мај 2017 година, ефикасно да ги решат наводните неправилности и пропусти, кои вклучуваат заплашување на гласачите, купување гласови, злоупотреба на државни ресурси, политички притисок врз медиумите, како и конфронтирачки јазик и вербални напади врз новинарите; ги повикува надлежните органи да ги запазат препораките на ОБСЕ/ОДИХР и на Венецијанската комисија и да воспостават веродостојна евиденција за ефикасен надзор на финансирањето на политичките партии и изборните кампањи; ја нагласува потребата од поголема транспарентност и понатамошна деполитизација на работата на изборната администрација со цел да се зголеми довербата на јавноста во идните избори;</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4. Смета дека е важно да се спроведе попис на населението (последниот попис е спроведен во 2002 година), под услов да постои консензус на ниво на државата во врска со методологијата што би се применувала, со цел да се добие ажурирана и реална демографска слика за населението во Македонија, за подобро да се исполнат потребите - и да им понудат подобри услуги на - македонските граѓани, и за дополнително ажурирање на Избирачкиот список и да се минимизираат сите неправилности и недостатоци во иднина;</w:t>
      </w:r>
    </w:p>
    <w:p w:rsidR="0022145F" w:rsidRPr="00AD5900" w:rsidRDefault="0022145F" w:rsidP="00CF35A1">
      <w:pPr>
        <w:jc w:val="both"/>
        <w:rPr>
          <w:rFonts w:ascii="Georgia" w:hAnsi="Georgia"/>
          <w:color w:val="000000" w:themeColor="text1"/>
          <w:lang w:val="mk-MK"/>
        </w:rPr>
      </w:pPr>
      <w:r w:rsidRPr="00AD5900">
        <w:rPr>
          <w:rFonts w:ascii="Georgia" w:hAnsi="Georgia"/>
          <w:color w:val="000000" w:themeColor="text1"/>
          <w:lang w:val="mk-MK"/>
        </w:rPr>
        <w:t>5. Очекува дека новата влада, како прв приоритет, во соработка со другите партии ќе ги забрза реформите поврзани со ЕУ; повторно ја нагласува својата поддршка за отворање на пристапните преговори, под услов да се оствари напредок во спроведувањето на Договорот од Пржино за да се обезбеди негова целосна, материјална и одржлива имплементација и значителен напредок во спроведувањето на приоритетите од итните системски реформи; го повикува Советот во првата можна прилига да го разгледа прашањето за преговорите за членство; и понатаму е уверен дека преговорите може да поттикнат неопходни реформи, да создадат нова динамика, да ја оживеат европската перспектива и позитивно да влијаат врз решавањето на билатералните спорови за да не го попречуваат процесот на пристапување во ЕУ;</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lastRenderedPageBreak/>
        <w:t xml:space="preserve">6. Ја нагласува стратешката важност на понатамошниот напредок во процесот на пристапување во ЕУ и повторно ги повикува сите партии да прикажат политичка волја и одговорност за целосно спроведување на итните реформски приоритети и договорот од Пржино; истакнува дека спроведувањето на договорот од Пржино е од суштинско значење и надвор од контекстот на изборите со цел да се обезбеди политичка стабилност и одржливост во иднина; ја повикува Комисијата во првата можна прилика, но до крајот на 2017 година, да го оцени напредокот на земјата за имплементацијата и да поднесе извештај до Парламентот и до Советот; но, потсетува на тоа дека треба да се отпочнат и реализираат долго-потребните реформи, го поддржува продолжувањето на Пристапниот дијалог на високо ниво (ПДВН) за систематска помош на земјата во овој потфат; жали што не се одржаа средби во рамките на ПДВН и дека има незначителен напредок во исполнувањето на претходните цели; посочува на потенцијалните негативни политички, безбедносни и социо-економски последици од понатамошните одложувања на процесот на Евроатланските интеграции; повторно ги повикува Комисијата и </w:t>
      </w:r>
      <w:r w:rsidRPr="00AD5900">
        <w:rPr>
          <w:rFonts w:ascii="Georgia" w:hAnsi="Georgia"/>
          <w:bCs/>
          <w:color w:val="000000" w:themeColor="text1"/>
          <w:lang w:val="mk-MK"/>
        </w:rPr>
        <w:t>Европската служба за надворешно дејствување</w:t>
      </w:r>
      <w:r w:rsidRPr="00AD5900">
        <w:rPr>
          <w:rFonts w:ascii="Georgia" w:hAnsi="Georgia"/>
          <w:color w:val="000000" w:themeColor="text1"/>
          <w:lang w:val="mk-MK"/>
        </w:rPr>
        <w:t xml:space="preserve"> (</w:t>
      </w:r>
      <w:r w:rsidRPr="00AD5900">
        <w:rPr>
          <w:rFonts w:ascii="Georgia" w:hAnsi="Georgia"/>
          <w:bCs/>
          <w:color w:val="000000" w:themeColor="text1"/>
          <w:lang w:val="mk-MK"/>
        </w:rPr>
        <w:t>ЕЕАС</w:t>
      </w:r>
      <w:r w:rsidRPr="00AD5900">
        <w:rPr>
          <w:rFonts w:ascii="Georgia" w:hAnsi="Georgia"/>
          <w:color w:val="000000" w:themeColor="text1"/>
          <w:lang w:val="mk-MK"/>
        </w:rPr>
        <w:t>) да ја зголемат видливоста на проекти финансирани од ЕУ во земјата, со цел да ја доближат ЕУ до нејзините граѓани;</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t>7. Го нагласува значајниот напредок што земјата го постигна во процесот на интеграција во ЕУ и ги нагласува негативните последици од понатамошниот застој во процесот на интеграција, вклучувајќи ја и заканата за веродостојноста на политиката на проширување на ЕУ, како и ризикот од нестабилност во регионот;</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t>8. Истакнува дека актуелните предизвици со кои се соочува Европската унија (Брегзит, миграции, радикализам, итн.) не смеат да го попречуваат процесот на проширување, туку напротив, овие предизвици ја покажаа потребата за целосна интеграција на западен Балкан во структурите на ЕУ, со цел да се подобри и продлабочи партнерството и да се надминат меѓународните кризи;</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t xml:space="preserve">9. Го поздравува високото ниво на законодавно усогласување со </w:t>
      </w:r>
      <w:r w:rsidRPr="00AD5900">
        <w:rPr>
          <w:rFonts w:ascii="Georgia" w:hAnsi="Georgia"/>
          <w:i/>
          <w:color w:val="000000" w:themeColor="text1"/>
          <w:lang w:val="mk-MK"/>
        </w:rPr>
        <w:t>acquis communautaire</w:t>
      </w:r>
      <w:r w:rsidRPr="00AD5900">
        <w:rPr>
          <w:rFonts w:ascii="Georgia" w:hAnsi="Georgia"/>
          <w:color w:val="000000" w:themeColor="text1"/>
          <w:lang w:val="mk-MK"/>
        </w:rPr>
        <w:t xml:space="preserve"> и го препознава приоритетот што му се дава на ефикасното спроведување и примена на постојните правни и политички рамки, како што е случајот со земјите кои веќе учествуваат во преговорите за пристапување;</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t>10. И честита на земјата за тоа што продолжува да ги исполнува своите обврски во рамките на Договорот за стабилизација и асоцијација; го повикува Советот да го усвои предлогот на Комисијата од 2009 година за преминување во втората фаза на ДСА, во согласност со релевантните одредби;</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t xml:space="preserve">11. Ги поттикнува сите партии да покажат политичка волја и одговорност за надминување на поделбите во политичката средина кои поттикнуваат поларизација и непостоење на култура на компромис и повторно отпочнување на дијалог; повторно ја истакнува клучната улога на парламентот за демократски развој на земјата и неговата улога како форум за политички дијалог и застапување; повикува на зајакнување на неговите надзорни функции и ограничување на праксата на чести законски измени и примена на скратени постапки за нивно донесување, без доволно консултации или процени на ефектите; бара непречено функционирање на парламентарните комисии во врска со </w:t>
      </w:r>
      <w:r w:rsidRPr="00AD5900">
        <w:rPr>
          <w:rFonts w:ascii="Georgia" w:hAnsi="Georgia"/>
          <w:color w:val="000000" w:themeColor="text1"/>
          <w:lang w:val="mk-MK"/>
        </w:rPr>
        <w:lastRenderedPageBreak/>
        <w:t>следењето на комуникациите и безбедноста и контраразузнавањето, како и на нивниот непречен пристап до потребните податоци и искази на сведоци со цел веродостојно да се изврши парламентарна контрола над релевантните служби; ја препознава конструктивната улога на граѓанското општество во поддршката и унапредувањето на демократските процеси;</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t>12. Забележува одреден напредок во реформите на јавната администрација, вклучувајќи и чекори за спроведување на новата законска рамка за управување со човечки ресурси; повикува на понатамошни заложби за спроведување на препораките на Комисијата; и понатаму е загрижен за политизираната јавна администрација и изложеноста на државните службеници на политички притисок; ја повикува новата влада да покаже силна политичка заложба за подобрување на професионализмот, заслугите, непристрасноста и независноста на сите нивоа, при спроведувањето на нови вработувања и постапки на оценување врз основа на заслугите; ја нагласува потребата за комплетирање на стратегијата за реформи на јавната администрација 2017-2022, меѓу другото и со тоа што ќе одвои доволно буџетски средства за нејзино спроведување и зајакнување на релевантните административни капацитети; ја повикува новата влада да воспостави транспарентна и ефикасна линија на одговорност меѓу и во рамките на институциите; препорачува праведна застапеност на сите заедници на сите нивоа на јавната администрација;</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t>13. И препорачува на новата влада да развие сеопфатна стратегија за е-управување заедно со понатамошен развој на е-услуги за граѓаните и бизнисите со цел намалување на бирократското оптоварување на државата, граѓаните и бизнисите; нагласува дека е-управувањето и е-услугите ќе ја подобрат економската успешност на земјата и ќе овозможат поголема транспарентност и ефикасност на јавната администрација и службите; го истакнува правото на граѓаните за пристап до информации од јавен карактер и повикува на понатамошни напори за да се гарантира дека ова право нема да биде ограничено на каков било начин; поттикнува барање на иновативни е-решенија за да се загарантира едноставен пристап до информации од јавен карактер и да се намали поврзаната бирократија;</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t>14. Изразува жалење поради континуираното назадување во реформите на судството, кое треба да се поттикне да функционира независно; жали за повторливото политичко мешање во неговата работа, вклучително и во именувањето и унапредувањето на судии и обвинители, како и поради недостатокот на одговорност во случаи на селективна правда; повторно ги повикува надлежните органи да ги разгледаат отворените прашања, како што е утврдено во Итните реформски приоритети и да покажат политичка волја за напредок во судските реформи, вклучувајќи и зголемување на транспарентноста во постапките на именување и унапредување и во законот и во пракса и намалување на времетраењето на судските постапки; препознава дека се направени одредени напори за подобрување на транспарентноста; понатаму, ги повикува властите да обезбедат професионалност на Судскиот совет и Советот на јавни обвинители како и функционална независност на судскиот систем во целост;</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lastRenderedPageBreak/>
        <w:t>15. Повторно ја истакнува важноста за темелна, независна и непречена истрага во врска со наводите за неправилностите откриени во прислушуваните телефонски разговори и неуспешниот надзор поврзан со нив; потсетува на важноста на мандатот и работата на Специјалното јавно обвинителство и Парламентарниот истражен одбор чија цел е одделно да ја истражат правната и политичка одговорност; напоменува дека Специјалното јавно обвинителство ги покрена првите обвиненија во врска со неправилностите кои произлегуваат од прислушуваните телефонски разговори;</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t>16. Изразува загриженост поради политичките напади на работата на Специјалното јавно обвинителство (СЈО) и админитративните и судски опструкции на неговата работа, како и за недостатокот на соработка со други институции; ги потсетува кривичните судови кои не одговараат на официјалните барања од СЈО дека имаат законска обврска да му помогнат на СЈО; смета дека е од суштинско значење за демократскиот процес СЈО да може да ги исполни сите свои функции и да спроведе темелна истрага со целосна автономија, без опструкции и со сите неопходни средства; повикува на тоа на СЈО да му се даде целосна поддршка, услови и време потребно за да ја заврши својата важна задача; повикува на прекин на опструкции од судовите кои се однесуваат на доказите на Специјалното јавно обвинителство,  и повикува на поддршка за измените на законите за да се обезбеди автономно овластување за заштита на сведоци во врска со случаите за кои е одговорно; длабоко е уверен дека исходите од истрагите претставуваат важен чекор кон враќање на довербата во националните институции; понатаму, ја нагласува потребата од измени и дополнувања на Законот за заштита на сведоци;</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t>17. И понатаму е загрижен дека корупцијата продолжува да претставува сериозен проблем и дека борбата против корупцијата е поткопана од политичкото мешање; ја нагласува потребата од силна политичка волја за справување со корупцијата; нагласува дека е неопходно да се зајакне независноста на полицијата, обвинителството и Државната комисија за спречување на корупцијата (ДКСК); повикува да се преземат чекори за да се подобри транспарентноста и да се обезбеди избор и именување на членови на ДКСК согласно заслугите; повикува итно да се направат напори за да се обезбеди ефикасна превенција и казнување на судири на интереси и да се воспостави веродостојна евиденција во борбата против корупција на високо ниво, вклучувајќи го и спроведувањето на законската рамка за заштита на свиркачите во согласност со европските стандарди, итните реформски приоритети и препораките на Венецијанската комисија; повторно ги поттикнува независните организации на граѓанското општество и медиумите да разоткриваат корупција и да нудат поддршка за независни и непристрасни истраги; ги повикува властите да ја поддржуваат работата на Омбудсманот со соодветни кадровски и буџетски мерки;</w:t>
      </w:r>
    </w:p>
    <w:p w:rsidR="0022145F" w:rsidRPr="00AD5900" w:rsidRDefault="0022145F" w:rsidP="00791A5C">
      <w:pPr>
        <w:jc w:val="both"/>
        <w:rPr>
          <w:rFonts w:ascii="Georgia" w:hAnsi="Georgia"/>
          <w:color w:val="000000" w:themeColor="text1"/>
          <w:lang w:val="mk-MK"/>
        </w:rPr>
      </w:pPr>
      <w:r w:rsidRPr="00AD5900">
        <w:rPr>
          <w:rFonts w:ascii="Georgia" w:hAnsi="Georgia"/>
          <w:color w:val="000000" w:themeColor="text1"/>
          <w:lang w:val="mk-MK"/>
        </w:rPr>
        <w:t>18. Изразува загриженост поради поврзувањето на медиумските, политичките и владините активности, особено во поглед на трошењето на јавните пари; најостро го осудува постоењето на незаконски економски, политички и семејни врски во врска со трошењето на јавните средства; ја повикува Владата да усвои законска рамка со која ќе се регулира судирот на интереси и објавување на имотите на лицата на високи државни позиции како дополнителна мерка за борба против корупцијата;</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lastRenderedPageBreak/>
        <w:t>19. Го поздравува фактот дека се воспоставени стратегии за борба против организираниот криминал; го поздравува разбивањето криминални мрежи и рути поврзани со трговија со луѓе и дрога и бара дополнително зголемување на напорите за борба против организираниот криминал; охрабрува понатамошно подобрување на соработката меѓу службите за спроведување на законот во државата и со соседните земји и зајакнување на моќта и ресурсите на судовите; смета дека е од суштинска важност дополнително да се развијат капацитетите на безбедносните служби за истражување финансиски криминал и конфискување имот;</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20. Ги цени континуираните напори за борба против исламската радикализација и странските терористички борци; го поздравува освојувањето на стратегијата за борба против тероризмот 2013-2019, која ги дефинира и концептите за насилен екстремизам, радикализација, превнеција и реинтеграција; повикува на нејзина имплементација преку поголема соработка меѓу безбедносните служби и организациите на граѓанското општество (ОГО), религиозните водачи, локалните заедници и другите државни институции во секторите на образование, здравство и социјални служби во справување со различните фази на радикализација и развивање методи за реинтеграција и рехабилитација; дополнително бара континуирано надгледување на вратените странски борци од безбедносните служби, нивна вистинска реинтеграција во општеството и постојана размена на информации со властите на ЕУ и соседните земји.</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 xml:space="preserve">21. Изразува загриженост за сигналите што доаѓаат од ОГО за влошувањето на климата во која работат; и понатаму е загрижен поради радикалните јавни напади врз ОГО и странски претставници од страна на политичари и медиуми; ја препознава и поздравува важната улога што ја имаат ОГО во следењето, поддржувањето и подобрувањето на демократските процеси, вклучувајќи го и изборниот процес, и осигурувањето на контрола и рамнотежа; изразува загриженост за ограничената владина посветеност и недоволна соработка со ОГО на сите нивоа; ја нагласува важноста на редовен и конструктивен дијалог и соработка со ОГО и ги поттикнува надлежните власти да ги вклучат граѓанските организации во креирањето политики на редовен и структуриран начин; бара од властите да не ги дискриминираат ОГО на ниедна основа, како што се политичката наклонетост, религиозните ставови или етничкиот состав; верува дека слободата на собирање и здружување не треба да </w:t>
      </w:r>
      <w:r w:rsidRPr="00AD5900">
        <w:rPr>
          <w:color w:val="000000" w:themeColor="text1"/>
          <w:lang w:val="mk-MK"/>
        </w:rPr>
        <w:t>ѝ</w:t>
      </w:r>
      <w:r w:rsidRPr="00AD5900">
        <w:rPr>
          <w:rFonts w:ascii="Georgia" w:hAnsi="Georgia"/>
          <w:color w:val="000000" w:themeColor="text1"/>
          <w:lang w:val="mk-MK"/>
        </w:rPr>
        <w:t xml:space="preserve"> се одземе на ниедна група луѓе без сериозно оправдување;</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22. Ги охрабрува властите да продолжат да работат на прекинатиот попис што би обезбедил точна статистика за населението што ќе може да послужи како основа за владините програми за развој и соодветно планирање на буџетот;</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 xml:space="preserve">23. Ги потсетува власта и политичките партии на нивната одговорност во оформувањето, по закон и во пракса, на култура на вклучување и толеранција; го поздравува усвојувањето на националната стратегија за еднаквост и недискриминација 2016-2020 година; изразува загриженост околу непристрасноста и независноста на Комисијата за заштита од дискриминација и бара транспарентен процес на избор на нејзините членови; повторно ја нагласува осудата на говорот на омраза против дискриминираните групи; изразува загриженост дека и понатаму се дискриминираат и напаѓаат лезбијки, геј, бисексуалци, трансродови и интерсекс (ЛГБТИ) лица; го повторува повикот за усогласување на законот </w:t>
      </w:r>
      <w:r w:rsidRPr="00AD5900">
        <w:rPr>
          <w:rFonts w:ascii="Georgia" w:hAnsi="Georgia"/>
          <w:color w:val="000000" w:themeColor="text1"/>
          <w:lang w:val="mk-MK"/>
        </w:rPr>
        <w:lastRenderedPageBreak/>
        <w:t xml:space="preserve">против дискриминација со </w:t>
      </w:r>
      <w:r w:rsidRPr="00AD5900">
        <w:rPr>
          <w:rFonts w:ascii="Georgia" w:hAnsi="Georgia"/>
          <w:i/>
          <w:color w:val="000000" w:themeColor="text1"/>
          <w:lang w:val="mk-MK"/>
        </w:rPr>
        <w:t xml:space="preserve">acquis </w:t>
      </w:r>
      <w:r w:rsidRPr="00AD5900">
        <w:rPr>
          <w:rFonts w:ascii="Georgia" w:hAnsi="Georgia"/>
          <w:color w:val="000000" w:themeColor="text1"/>
          <w:lang w:val="mk-MK"/>
        </w:rPr>
        <w:t>во однос на дискриминацијата врз основа на сексуалната ориентација; повторно ја нагласува потребата од борба против предрасудите и дискриминацијата на Ромите и од олеснување на нивната интеграција и пристап до образовниот систем и пазарот на труд; изразува загриженост за нечовечните физички услови и пренатрупаноста во затворите и покрај значителното зголемување на затворскиот буџет; бара почитување на препораките на Омбудсманот;</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24. Бара дополнителни напори за поттикнување родова еднаквост и зголемување на учеството на жените во политичкиот живот и работата, за подобрување на нивната социо-економска ситуација и за зајакнување на правата на жените во целина; бара надлежните власти да ја подобрат имплементацијата на Законот за еднакви можности на мажите и жените, да се справат со недоволната застапеност на жените на клучни одлучувачки позиции на сите нивоа и да ја засилат ефикасноста на институционалните механизми за напредување на еднаквоста меѓу мажите и жените; ги поттикнува надлежните власти да одвојат доволно средства од буџетот за имплементација на законот; изразува загриженост за тоа што жените немаат пристап до некои основни здравствени услуги и за постојано високата стапка на смртност на новороденчиња;</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25. Ја поттикнува владата да преземе мерки да го ревидира Законот за превенција, спречување и заштита од домашно насилство и другите релевантни закони со цел да се обезбеди соодветна заштита за сите жртви на домашно насилство и родово насилство, и да ги подобри услугите за поддршка на жртвите на домашно насилство, вклучувајќи и соодветен број центри за згрижување; дополнително ја поттикнува владата да осигури темелна истрага за случаите на домашно насилство и судски прогон за сторителите, и да продолжи да работи на подигнување на свеста за домашното насилство;</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26. Повторно истакнува дека меѓуетничката ситуација и понатаму е чувствителна; ги поттикнува сите политички партии и ОГО активно да промовираат инклузивно и толерантно мултиетничко, мултикултурно и мулитирелигиозно општество и да го зајакнуваат соживотот и дијалогот; изразува верување дека се потребни специфични мерки за да се постигне општествена споеност меѓу различните етнички, национални и религиозни заедници; ги потсетува владата и лидерите на партиите на нивната обврзаност целосно да го имплементираат ОРД на инклузивен и транспарентен начин, да ја завршат неговата потребна ревизија без понатамошно одложување, вклучувајќи ги и препораките за политиките, и да осигурат доволен буџет за негова имплементација; ги осудува секоја форма на иредентизам и секој обид за разединување на различните општествени групи; ја нагласува важноста за отпочнување на долгоочекуваниот попис без понатамошно одложување;</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27. Ја повикува Комисијата да направи дополнителни напори за поддршка на вистински процес на помирување во регионот, особено преку поддршка за културните проекти што се занимаваат со блиското минато и поттикнување на заедничко разбирање на историјата и јавна и политичка култура на толеранција, инклузија и помирување;</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 xml:space="preserve">28. Повторно нагласува дека властите и граѓанското општество треба да преземат соодветни мерки за да постигнат историско помирување за да се надмине поделбата меѓу </w:t>
      </w:r>
      <w:r w:rsidRPr="00AD5900">
        <w:rPr>
          <w:rFonts w:ascii="Georgia" w:hAnsi="Georgia"/>
          <w:color w:val="000000" w:themeColor="text1"/>
          <w:lang w:val="mk-MK"/>
        </w:rPr>
        <w:lastRenderedPageBreak/>
        <w:t xml:space="preserve">различните етнички и национални групи и во самите нив, вклучувајќи ги и граѓаните со бугарски идентитет;  </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29. Ја поттикнува владата да испрати јасни сигнали до јавноста и медиумите дека дискриминацијата врз основа на националниот идентитет не се толерира во државата, вклучувајќи и во однос на судскиот систем, медиумите, вработувањето и општествените можности; ја подвлекува важноста на овие постапки за интеграцијата на различните етнички заедници и за стабилноста и европската интеграција на земјата;</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30. Ги охрабрува властите да ги вратат релевантните архиви на југословенските тајни служби од Србија; го застапува ставот дека транспарентното постапување со тоталитаристичкото минато, вклучувајќи го и отворањето на архивите на тајните служби, е чекор кон понатамошна демократизација, одговорност и институционална сила;</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31. Ја нагласува важноста на слободата и независноста на медиумите како една од клучните вредности на ЕУ и темел на секоја демократија; и понатаму изразува загриженост околу слободата на изразување и медиумите, употребата на говор на омраза, случаите на заплашување и самоцензура, систематското политичко мешање и притисок врз уредничката политика, непостоењето на истражувачко, објективно и точно известување, како и небалансираното известување за владините активности; повторно повикува на известување за различни гледни точки низ главните медиуми, а особено во јавниот радиодифузен сервис;</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32. Ја повикува новата влада да осигури дека заканите и насилството против новинарите ќе бидат спречени и дека ќе се спроведе прописна истрага и одговорните ќе бидат изведени пред правдата; ја нагласува потребата за одржливост и политичка и финансиска автономија на јавниот радиодифузен сервис со цел да се осигури неговата финансиска и уредничка независност и правото на пристап до непристрасни информации; бара вклучување на тела што ќе го застапуваат интересот на медиумите; бара воспоставување на професионален кодекс на однесување прифатен од јавните и приватните медиуми; охрабрува соработка меѓу владините службеници, ОГО и новинарските организации за медиумските реформи;</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33. И понатаму е загрижен дека политичката ситуација претставува сериозен ризик за македонската економија; продолжува да изразува загриженост околу слабото спроведување на договорите, големината на неформалната економија и тешкиот пристап до финансии; нагласува дека значително големата сива економија е важна пречка за работењето; ја нагласува потребата од преземање мерки за зајакнување на конкурентноста и создавањето работни места во приватниот сектор и бара надлежните власти да посветат и на судската ефикасност;</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 xml:space="preserve">34. Го поздравува одржувањето на макроекономска стабилност, намалувањето на стапката на невработеност и континуираната посветеност на владата на поттикнување на растот и вработувањето преку пазарни економски политики, но изразува загриженост за одржливоста на јавниот долг и фактот дека стапката на невработеност сè уште е висока со многу ниско учество на пазарот на труд, особено меѓу младите луѓе, жените и лицата со инвалидитет; понатаму ги поттикнува надлежните власти да се справат со долгорочната и </w:t>
      </w:r>
      <w:r w:rsidRPr="00AD5900">
        <w:rPr>
          <w:rFonts w:ascii="Georgia" w:hAnsi="Georgia"/>
          <w:color w:val="000000" w:themeColor="text1"/>
          <w:lang w:val="mk-MK"/>
        </w:rPr>
        <w:lastRenderedPageBreak/>
        <w:t>структурната невработеност, да поттикнуваат соработка во областа на економската политика, подобро да го усогласат образованието со побарувачката на пазарот на труд и да развијат целна стратегија за тоа како подобро да се интегрираат младите луѓе и жените на пазарот на труд; загрижен е за одливот на високообразовани млади професионалци и силно ја повикува владата да развие програми што ќе им овозможат на високообразованите млади професионалци да се вратат и да учествуваат во политичките процеси и во донесувањето одлуки; бара дејствување за да се подобрат фискалната дисциплина и транспарентност и да се зголеми капацитетот за планирање на буџетот; го поттикнува принципот на балансирани буџети; забележува дека сигурната и предвидлива регулаторна средина за претпријатијата води до зголемена макроекономска стабилност и раст; и бара соодветна консултација со сите засегнати од ова;</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35. Го поздравува постигнатиот напредок во модернизирањето на транспортот, енергијата и телекомуникациските мрежи и, особено, напорите за комплетирање на Коридорот X</w:t>
      </w:r>
      <w:r w:rsidRPr="00AD5900">
        <w:rPr>
          <w:rFonts w:ascii="Georgia" w:hAnsi="Georgia"/>
          <w:color w:val="000000" w:themeColor="text1"/>
          <w:vertAlign w:val="superscript"/>
          <w:lang w:val="mk-MK"/>
        </w:rPr>
        <w:t>(2)</w:t>
      </w:r>
      <w:r w:rsidRPr="00AD5900">
        <w:rPr>
          <w:rFonts w:ascii="Georgia" w:hAnsi="Georgia"/>
          <w:color w:val="000000" w:themeColor="text1"/>
          <w:lang w:val="mk-MK"/>
        </w:rPr>
        <w:t>; имајќи ја предвид важноста на железничките врски во рамката на одржлив транспортен систем, ја поздравува намерата на владата за надградба или конструкција на железнички врски од Скопје до главните градови на другите земји и бара поголем напредок, особено во завршувањето на железничките и патните врски во рамки на Коридорот VIII</w:t>
      </w:r>
      <w:r w:rsidRPr="00AD5900">
        <w:rPr>
          <w:rFonts w:ascii="Georgia" w:hAnsi="Georgia"/>
          <w:color w:val="000000" w:themeColor="text1"/>
          <w:vertAlign w:val="superscript"/>
          <w:lang w:val="mk-MK"/>
        </w:rPr>
        <w:t>(3)</w:t>
      </w:r>
      <w:r w:rsidRPr="00AD5900">
        <w:rPr>
          <w:rFonts w:ascii="Georgia" w:hAnsi="Georgia"/>
          <w:color w:val="000000" w:themeColor="text1"/>
          <w:lang w:val="mk-MK"/>
        </w:rPr>
        <w:t>;</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36. Го пофалува добриот степен на подготвеност во полето на електронските комуникации и информатичкото општество; бара дополнителен напредок во областа на сајбер безбедноста и ја подвлекува потребата од развој и усвојување на национална стратегија за сајбер безбедност за да се зголеми сајбер отпорноста;</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37. Изразува загриженост за значајните недостатоци во полето на животната средина, особено во полето на индустриското загадување и загадувањето на воздухот и водата; забележува дека моменталната состојба во системот за водоснабдување генерално е лоша, што резултира со голема загуба на вода и проблеми со квалитетот на водата; ја нагласува потребата од развој и имплементирање на одржлива политика на управување со отпад и бара да се развие детална политика и стратегија за борба против климатските промени што ќе биде во согласност со рамката за климатска политика на ЕУ 2030 и бара ратификација и имплементација на Парискиот договор за климатски промени;</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38. Ја поздравува конструктивната улога на земјата во регионалната соработка, особено во иницијативата на Западнобалканската шесторка и агендата за поврзување; меѓутоа, забележува дека транспортната и енергетската инфраструктурна поврзаност со регионалните соседи и врската со трансевропската транспортна мрежа (ТЕН-Т) сè уште се ограничени; го поздравува напредокот постигнат во безбедноста при снабдувањето, како и во областа на меѓусебно поврзување за пренос на електрична енергија и меѓусебното поврзување за гас; го забележува договорот потпишан од Западнобалканските земји за развој на регионален пазар на електрична енергија; ја нагласува потребата од напредок во отворањето на пазарот на електрична енергија и од конкурентност на пазарот на гас и електрична енергија, со цел комуналните претпријатија да се развиваат во согласност со Третиот енергетски пакет на ЕУ; бара значителни подобрувања во однос на енергетската ефикасност, производството на обновлива енергија и борба против климатските промени; бара ратификација на Парискиот договор за климатски промени;</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lastRenderedPageBreak/>
        <w:t>39. Ги поттикнува властите да ги зајакнат административните и финансиските капацитети со цел да осигурат транспарентен, делотворен и ефикасен режим на јавни набавки, да ги спречат сите неправилности и правилно и навремено да ги користат европските фондови и, истовремено, да поднесуваат детални редовни извештаи за програмирањето и употребата на заедничките фондови; загрижено забележува дека Комисијата повторно ја намалила ИПА финансиската помош за приближно 27 милиони евра како последица на отсуството на политичка посветеност да се испорачаат реформи во управувањето со јавните финансии; ја повикува Комисијата да вклучи информации за ИПА поддршката за државата и ефикасноста на имплементираните мерки во своите извештаи, особено за ИПА поддршката наменета за имплементација на клучните приоритети и релевантните проекти;</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 xml:space="preserve">40. Ја пофалува земјата за нејзината конструктивна улога и соработка и нејзиниот извонреден напор во справувањето со предизвиците на мигрантската криза, со тоа значително придонесувајќи за безбедноста и стабилноста на ЕУ; во овој поглед, ја повикува Комисијата да </w:t>
      </w:r>
      <w:r w:rsidRPr="00AD5900">
        <w:rPr>
          <w:color w:val="000000" w:themeColor="text1"/>
          <w:lang w:val="mk-MK"/>
        </w:rPr>
        <w:t>ѝ</w:t>
      </w:r>
      <w:r w:rsidRPr="00AD5900">
        <w:rPr>
          <w:rFonts w:ascii="Georgia" w:hAnsi="Georgia"/>
          <w:color w:val="000000" w:themeColor="text1"/>
          <w:lang w:val="mk-MK"/>
        </w:rPr>
        <w:t xml:space="preserve"> ги обезбеди на државата сите нужни инструменти за ублажување на кризата; препорачува дополнителни мерки и дејствија во согласност со меѓународното хуманитарно право за да го подобри својот систем на азил, да ги осигури неопходните капацитети за спречување и борба против шверцот на луѓе и мигранти, вклучувајќи и договори за соработка со соседните држави во борбата против криминалот, и да осигури делотворно управување со границите;</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41. Забележува дека државата се наоѓа на таканаречената „Балканска рута“ и дека приближно 600000 бегалци и мигранти, вклучувајќи ги и ранливите групи како што се децата и постарите, досега поминале низ неа на патот кон Европа; ги поттикнува властите да осигурат дека мигрантите и бегалците што бараат азил во државата или патуваат низ нејзината територија се третираат во согласност со меѓународното право и правото на ЕУ, вклучувајќи ги и Конвенцијата за бегалци од 1951 година и Повелбата за основните права на ЕУ;</w:t>
      </w:r>
      <w:bookmarkStart w:id="0" w:name="_GoBack"/>
      <w:bookmarkEnd w:id="0"/>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42. Ја повикува комисијата да продолжи да соработува со сите Западнобалкански земји во врска со прашањата поврзани со миграцијата со цел да осигури дека ќе се следат европските и меѓународните норми и стандарди;</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43. Ја нагласува важноста на регионалната соработка како инструмент за поттикнување на процесот на интеграција во ЕУ и ги пофалува конструктивните напори на земјата и проактивниот придонес во промовирање на билатерални односи со сите земји во регионот;</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 xml:space="preserve">44. Смета дека регионалната соработка е суштински елемент во процесот на пристап до ЕУ, кој носи соработка и просперитет во регионот, и треба да биде приоритет за владата; ја поздравува континуираната конструктивна улога на државата и проактивниот придонес кон промовирањето билатерална, регионална и меѓународна соработка, како и нејзиното учество во граѓанските и воените операции за управување со кризи; ја пофалува зголемената усогласеност со надворешната политика на ЕУ (73%); ги повикува македонските власти да се усогласат и со рестриктивните мерки на ЕУ против Русија по </w:t>
      </w:r>
      <w:r w:rsidRPr="00AD5900">
        <w:rPr>
          <w:rFonts w:ascii="Georgia" w:hAnsi="Georgia"/>
          <w:color w:val="000000" w:themeColor="text1"/>
          <w:lang w:val="mk-MK"/>
        </w:rPr>
        <w:lastRenderedPageBreak/>
        <w:t xml:space="preserve">нелегалното присоединување на Крим; повторно ја истакнува важноста на финализирањето на преговорите за договор за пријателство и добрососедство со Бугарија; ги повикува властите да ги почитуваат политичките, општествените и културните права на жителите на земјата што се идентификуваат како Бугари;  </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45. Го охрабрува основањето заеднички експертски комитети за историја и образование со соседните земји, со цел да придонесат кон објективно толкување на историјата засновано на факти, зајакнување на академската соработка и промовирање позитивни ставови кај младите луѓе кон нивните соседи;</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46. Ги поздравува видливите резултати од иницијативата за мерки за градење доверба меѓу оваа земја и Грција, кои може да доведат до подобро разбирање и посилни билатерални релации, отворајќи го патот кон заемно прифатливо решение за проблемот со името и го признава позитивниот развој околу нивната имплементација; ја потцртува важноста на избегнувањето гестови, контроверзни постапки и изјави што можат да имаат негативно влијание врз добрососедските односи; силно ја повторува својата покана до Потпретседателката/Високата претставничка (ПП/ВП) и комисијата да развијат нови иницијативи за надминување на преостанатите тешкотии и да работат, заедно со двете земји и специјалниот пратеник на ОН, на заемно прифатливо решение за проблемот со името и да го известат парламентот во врска со тоа;</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47. Ги поздравува активностите спроведени во рамки на Берлинскиот процес, кои покажуваат силна политичка поддршка за европската перспектива на Западнобалканските земји; ја истакнува важноста на овој процес за промовирање на економскиот развој на земјите во регионот преку инвестиции во основните мрежи и билатералните проекти од полињата на инфраструктурата, економијата и меѓусебната поврзаност; повторно ја нагласува важноста на активното учество во регионалните младински иницијативи, како што е Регионалната канцеларија за младинска соработка на земјите од Западен Балкан; го поздравува основањето на Западнобалканскиот фонд и ја поттикнува Комисијата да ги земе предвид иницијативите и предложените проекти;</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48. Ја пофалува земјата за нејзиното претседателство со Централноевропската иницијатива (ЦЕИ) кога фокусот во 2015 година беше на економската соработка и деловни можности, инфраструктура и општ економски развој, вклучувајќи ги и руралниот развој и туризам, и на поврзувањето на макрорегиони;</w:t>
      </w:r>
    </w:p>
    <w:p w:rsidR="0022145F" w:rsidRPr="00AD5900" w:rsidRDefault="0022145F" w:rsidP="00237658">
      <w:pPr>
        <w:jc w:val="both"/>
        <w:rPr>
          <w:rFonts w:ascii="Georgia" w:hAnsi="Georgia"/>
          <w:color w:val="000000" w:themeColor="text1"/>
          <w:lang w:val="mk-MK"/>
        </w:rPr>
      </w:pPr>
      <w:r w:rsidRPr="00AD5900">
        <w:rPr>
          <w:rFonts w:ascii="Georgia" w:hAnsi="Georgia"/>
          <w:color w:val="000000" w:themeColor="text1"/>
          <w:lang w:val="mk-MK"/>
        </w:rPr>
        <w:t>49. Му наложува на својот претседател да ја проследи оваа резолуција до Советот, Потпретседателката/Високата претставничка, Комисијата, владите и парламентите на земјите членки  владата и парламентот на државата.</w:t>
      </w:r>
    </w:p>
    <w:p w:rsidR="00AD5900" w:rsidRDefault="00AD5900" w:rsidP="00AD5900">
      <w:pPr>
        <w:pStyle w:val="NoSpacing"/>
        <w:rPr>
          <w:rFonts w:ascii="Georgia" w:hAnsi="Georgia"/>
          <w:sz w:val="20"/>
          <w:szCs w:val="20"/>
          <w:lang w:val="mk-MK"/>
        </w:rPr>
      </w:pPr>
    </w:p>
    <w:p w:rsidR="00AD5900" w:rsidRDefault="00AD5900" w:rsidP="00AD5900">
      <w:pPr>
        <w:pStyle w:val="NoSpacing"/>
        <w:rPr>
          <w:rFonts w:ascii="Georgia" w:hAnsi="Georgia"/>
          <w:sz w:val="20"/>
          <w:szCs w:val="20"/>
          <w:lang w:val="mk-MK"/>
        </w:rPr>
      </w:pPr>
    </w:p>
    <w:p w:rsidR="0022145F" w:rsidRPr="00AD5900" w:rsidRDefault="0022145F" w:rsidP="00AD5900">
      <w:pPr>
        <w:pStyle w:val="NoSpacing"/>
        <w:rPr>
          <w:rFonts w:ascii="Georgia" w:hAnsi="Georgia"/>
          <w:sz w:val="20"/>
          <w:szCs w:val="20"/>
          <w:lang w:val="mk-MK"/>
        </w:rPr>
      </w:pPr>
      <w:r w:rsidRPr="00AD5900">
        <w:rPr>
          <w:rFonts w:ascii="Georgia" w:hAnsi="Georgia"/>
          <w:sz w:val="20"/>
          <w:szCs w:val="20"/>
          <w:lang w:val="mk-MK"/>
        </w:rPr>
        <w:t>(1) СВ L 84, 20. 3. 2004, стр. 13.</w:t>
      </w:r>
    </w:p>
    <w:p w:rsidR="0022145F" w:rsidRPr="00AD5900" w:rsidRDefault="0022145F" w:rsidP="00AD5900">
      <w:pPr>
        <w:pStyle w:val="NoSpacing"/>
        <w:rPr>
          <w:rFonts w:ascii="Georgia" w:hAnsi="Georgia"/>
          <w:sz w:val="20"/>
          <w:szCs w:val="20"/>
          <w:lang w:val="mk-MK"/>
        </w:rPr>
      </w:pPr>
      <w:r w:rsidRPr="00AD5900">
        <w:rPr>
          <w:rFonts w:ascii="Georgia" w:hAnsi="Georgia"/>
          <w:sz w:val="20"/>
          <w:szCs w:val="20"/>
          <w:lang w:val="mk-MK"/>
        </w:rPr>
        <w:t>(2) Коридорот X е еден од паневропските транспортни коридори и се протега од Салцбург (Австрија) до Солун (Грција).</w:t>
      </w:r>
    </w:p>
    <w:p w:rsidR="0022145F" w:rsidRPr="00AD5900" w:rsidRDefault="0022145F" w:rsidP="00AD5900">
      <w:pPr>
        <w:pStyle w:val="NoSpacing"/>
        <w:rPr>
          <w:rFonts w:ascii="Georgia" w:hAnsi="Georgia"/>
          <w:sz w:val="20"/>
          <w:szCs w:val="20"/>
          <w:lang w:val="mk-MK"/>
        </w:rPr>
      </w:pPr>
      <w:r w:rsidRPr="00AD5900">
        <w:rPr>
          <w:rFonts w:ascii="Georgia" w:hAnsi="Georgia"/>
          <w:sz w:val="20"/>
          <w:szCs w:val="20"/>
          <w:lang w:val="mk-MK"/>
        </w:rPr>
        <w:t>(3) Коридорот VIII е еден од паневропските транспортни коридори и се протега од Драч (Албанија) до Варна (Бугарија). Минува и низ Скопје.</w:t>
      </w:r>
    </w:p>
    <w:sectPr w:rsidR="0022145F" w:rsidRPr="00AD5900" w:rsidSect="00327658">
      <w:footerReference w:type="even" r:id="rId7"/>
      <w:footerReference w:type="default" r:id="rId8"/>
      <w:footnotePr>
        <w:pos w:val="beneathText"/>
        <w:numFmt w:val="chicago"/>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5F" w:rsidRDefault="0022145F" w:rsidP="00AC50E7">
      <w:pPr>
        <w:spacing w:after="0" w:line="240" w:lineRule="auto"/>
      </w:pPr>
      <w:r>
        <w:separator/>
      </w:r>
    </w:p>
  </w:endnote>
  <w:endnote w:type="continuationSeparator" w:id="0">
    <w:p w:rsidR="0022145F" w:rsidRDefault="0022145F" w:rsidP="00AC5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5F" w:rsidRDefault="00BC1555" w:rsidP="00D57288">
    <w:pPr>
      <w:pStyle w:val="Footer"/>
      <w:framePr w:wrap="around" w:vAnchor="text" w:hAnchor="margin" w:xAlign="right" w:y="1"/>
      <w:rPr>
        <w:rStyle w:val="PageNumber"/>
      </w:rPr>
    </w:pPr>
    <w:r>
      <w:rPr>
        <w:rStyle w:val="PageNumber"/>
      </w:rPr>
      <w:fldChar w:fldCharType="begin"/>
    </w:r>
    <w:r w:rsidR="0022145F">
      <w:rPr>
        <w:rStyle w:val="PageNumber"/>
      </w:rPr>
      <w:instrText xml:space="preserve">PAGE  </w:instrText>
    </w:r>
    <w:r>
      <w:rPr>
        <w:rStyle w:val="PageNumber"/>
      </w:rPr>
      <w:fldChar w:fldCharType="end"/>
    </w:r>
  </w:p>
  <w:p w:rsidR="0022145F" w:rsidRDefault="0022145F" w:rsidP="003276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5F" w:rsidRPr="00AD5900" w:rsidRDefault="00BC1555" w:rsidP="00D57288">
    <w:pPr>
      <w:pStyle w:val="Footer"/>
      <w:framePr w:wrap="around" w:vAnchor="text" w:hAnchor="margin" w:xAlign="right" w:y="1"/>
      <w:rPr>
        <w:rStyle w:val="PageNumber"/>
        <w:rFonts w:ascii="Georgia" w:hAnsi="Georgia"/>
        <w:sz w:val="24"/>
        <w:szCs w:val="24"/>
      </w:rPr>
    </w:pPr>
    <w:r w:rsidRPr="00AD5900">
      <w:rPr>
        <w:rStyle w:val="PageNumber"/>
        <w:rFonts w:ascii="Georgia" w:hAnsi="Georgia"/>
        <w:sz w:val="24"/>
        <w:szCs w:val="24"/>
      </w:rPr>
      <w:fldChar w:fldCharType="begin"/>
    </w:r>
    <w:r w:rsidR="0022145F" w:rsidRPr="00AD5900">
      <w:rPr>
        <w:rStyle w:val="PageNumber"/>
        <w:rFonts w:ascii="Georgia" w:hAnsi="Georgia"/>
        <w:sz w:val="24"/>
        <w:szCs w:val="24"/>
      </w:rPr>
      <w:instrText xml:space="preserve">PAGE  </w:instrText>
    </w:r>
    <w:r w:rsidRPr="00AD5900">
      <w:rPr>
        <w:rStyle w:val="PageNumber"/>
        <w:rFonts w:ascii="Georgia" w:hAnsi="Georgia"/>
        <w:sz w:val="24"/>
        <w:szCs w:val="24"/>
      </w:rPr>
      <w:fldChar w:fldCharType="separate"/>
    </w:r>
    <w:r w:rsidR="00B90A8C">
      <w:rPr>
        <w:rStyle w:val="PageNumber"/>
        <w:rFonts w:ascii="Georgia" w:hAnsi="Georgia"/>
        <w:noProof/>
        <w:sz w:val="24"/>
        <w:szCs w:val="24"/>
      </w:rPr>
      <w:t>14</w:t>
    </w:r>
    <w:r w:rsidRPr="00AD5900">
      <w:rPr>
        <w:rStyle w:val="PageNumber"/>
        <w:rFonts w:ascii="Georgia" w:hAnsi="Georgia"/>
        <w:sz w:val="24"/>
        <w:szCs w:val="24"/>
      </w:rPr>
      <w:fldChar w:fldCharType="end"/>
    </w:r>
  </w:p>
  <w:p w:rsidR="0022145F" w:rsidRDefault="0022145F" w:rsidP="003276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5F" w:rsidRDefault="0022145F" w:rsidP="00AC50E7">
      <w:pPr>
        <w:spacing w:after="0" w:line="240" w:lineRule="auto"/>
      </w:pPr>
      <w:r>
        <w:separator/>
      </w:r>
    </w:p>
  </w:footnote>
  <w:footnote w:type="continuationSeparator" w:id="0">
    <w:p w:rsidR="0022145F" w:rsidRDefault="0022145F" w:rsidP="00AC50E7">
      <w:pPr>
        <w:spacing w:after="0" w:line="240" w:lineRule="auto"/>
      </w:pPr>
      <w:r>
        <w:continuationSeparator/>
      </w:r>
    </w:p>
  </w:footnote>
  <w:footnote w:id="1">
    <w:p w:rsidR="00AD5900" w:rsidRPr="00AD5900" w:rsidRDefault="00AD5900" w:rsidP="00AD5900">
      <w:pPr>
        <w:pStyle w:val="FootnoteText"/>
        <w:rPr>
          <w:rFonts w:ascii="Georgia" w:hAnsi="Georgia"/>
        </w:rPr>
      </w:pPr>
      <w:r w:rsidRPr="00AD5900">
        <w:rPr>
          <w:rStyle w:val="FootnoteReference"/>
          <w:rFonts w:ascii="Georgia" w:hAnsi="Georgia"/>
        </w:rPr>
        <w:footnoteRef/>
      </w:r>
      <w:r w:rsidRPr="00AD5900">
        <w:rPr>
          <w:rFonts w:ascii="Georgia" w:hAnsi="Georgia"/>
        </w:rPr>
        <w:t xml:space="preserve"> </w:t>
      </w:r>
      <w:r w:rsidRPr="00AD5900">
        <w:rPr>
          <w:rFonts w:ascii="Georgia" w:hAnsi="Georgia"/>
          <w:lang w:val="mk-MK"/>
        </w:rPr>
        <w:t>Изворниот текст го користи изразот „</w:t>
      </w:r>
      <w:r w:rsidRPr="00AD5900">
        <w:rPr>
          <w:rFonts w:ascii="Georgia" w:hAnsi="Georgia"/>
        </w:rPr>
        <w:t>former Yugoslav Republic of Macedonia</w:t>
      </w:r>
      <w:r w:rsidRPr="00AD5900">
        <w:rPr>
          <w:rFonts w:ascii="Georgia" w:hAnsi="Georgia"/>
          <w:lang w:val="mk-MK"/>
        </w:rPr>
        <w:t xml:space="preserve">“ – </w:t>
      </w:r>
      <w:r w:rsidRPr="00AD5900">
        <w:rPr>
          <w:rFonts w:ascii="Georgia" w:hAnsi="Georgia"/>
          <w:i/>
          <w:iCs/>
          <w:lang w:val="mk-MK"/>
        </w:rPr>
        <w:t>заб.прев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D62BE"/>
    <w:multiLevelType w:val="hybridMultilevel"/>
    <w:tmpl w:val="CAC6B608"/>
    <w:lvl w:ilvl="0" w:tplc="A96E52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pos w:val="beneathText"/>
    <w:numFmt w:val="chicago"/>
    <w:footnote w:id="-1"/>
    <w:footnote w:id="0"/>
  </w:footnotePr>
  <w:endnotePr>
    <w:endnote w:id="-1"/>
    <w:endnote w:id="0"/>
  </w:endnotePr>
  <w:compat/>
  <w:rsids>
    <w:rsidRoot w:val="00AC50E7"/>
    <w:rsid w:val="000723C8"/>
    <w:rsid w:val="000E3AA5"/>
    <w:rsid w:val="00135547"/>
    <w:rsid w:val="0017231E"/>
    <w:rsid w:val="00193013"/>
    <w:rsid w:val="001B3A0A"/>
    <w:rsid w:val="001C4A8A"/>
    <w:rsid w:val="001C6ADF"/>
    <w:rsid w:val="001E0390"/>
    <w:rsid w:val="001F48A8"/>
    <w:rsid w:val="0022145F"/>
    <w:rsid w:val="00235C11"/>
    <w:rsid w:val="00237658"/>
    <w:rsid w:val="002518CD"/>
    <w:rsid w:val="002C4CF7"/>
    <w:rsid w:val="003167F7"/>
    <w:rsid w:val="00327658"/>
    <w:rsid w:val="00513458"/>
    <w:rsid w:val="005E4AAD"/>
    <w:rsid w:val="005E7A7D"/>
    <w:rsid w:val="0060208E"/>
    <w:rsid w:val="00613CED"/>
    <w:rsid w:val="006335C4"/>
    <w:rsid w:val="006357B4"/>
    <w:rsid w:val="006457A9"/>
    <w:rsid w:val="00654FA0"/>
    <w:rsid w:val="00657CD4"/>
    <w:rsid w:val="00675490"/>
    <w:rsid w:val="006B7795"/>
    <w:rsid w:val="006C42CD"/>
    <w:rsid w:val="006F0237"/>
    <w:rsid w:val="007571C8"/>
    <w:rsid w:val="0078529D"/>
    <w:rsid w:val="00791A5C"/>
    <w:rsid w:val="007F4F16"/>
    <w:rsid w:val="008115C7"/>
    <w:rsid w:val="00856537"/>
    <w:rsid w:val="0086500B"/>
    <w:rsid w:val="00883CB4"/>
    <w:rsid w:val="008966AE"/>
    <w:rsid w:val="008A6416"/>
    <w:rsid w:val="008C27DD"/>
    <w:rsid w:val="008E509D"/>
    <w:rsid w:val="00936547"/>
    <w:rsid w:val="0094051A"/>
    <w:rsid w:val="009A6D52"/>
    <w:rsid w:val="009C3D8F"/>
    <w:rsid w:val="00A70351"/>
    <w:rsid w:val="00A82B97"/>
    <w:rsid w:val="00AC50E7"/>
    <w:rsid w:val="00AD5900"/>
    <w:rsid w:val="00AE31E3"/>
    <w:rsid w:val="00AF5390"/>
    <w:rsid w:val="00B90A8C"/>
    <w:rsid w:val="00BC1555"/>
    <w:rsid w:val="00C801A5"/>
    <w:rsid w:val="00CD6417"/>
    <w:rsid w:val="00CF35A1"/>
    <w:rsid w:val="00D235E0"/>
    <w:rsid w:val="00D36CC8"/>
    <w:rsid w:val="00D57288"/>
    <w:rsid w:val="00E66E97"/>
    <w:rsid w:val="00ED78EF"/>
    <w:rsid w:val="00F20EFB"/>
    <w:rsid w:val="00F32460"/>
    <w:rsid w:val="00F97318"/>
    <w:rsid w:val="00FA1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50E7"/>
    <w:pPr>
      <w:ind w:left="720"/>
      <w:contextualSpacing/>
    </w:pPr>
  </w:style>
  <w:style w:type="paragraph" w:styleId="FootnoteText">
    <w:name w:val="footnote text"/>
    <w:basedOn w:val="Normal"/>
    <w:link w:val="FootnoteTextChar"/>
    <w:uiPriority w:val="99"/>
    <w:semiHidden/>
    <w:rsid w:val="00AC50E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C50E7"/>
    <w:rPr>
      <w:rFonts w:cs="Times New Roman"/>
      <w:sz w:val="20"/>
      <w:szCs w:val="20"/>
    </w:rPr>
  </w:style>
  <w:style w:type="character" w:styleId="FootnoteReference">
    <w:name w:val="footnote reference"/>
    <w:basedOn w:val="DefaultParagraphFont"/>
    <w:uiPriority w:val="99"/>
    <w:semiHidden/>
    <w:rsid w:val="00AC50E7"/>
    <w:rPr>
      <w:rFonts w:cs="Times New Roman"/>
      <w:vertAlign w:val="superscript"/>
    </w:rPr>
  </w:style>
  <w:style w:type="paragraph" w:styleId="EndnoteText">
    <w:name w:val="endnote text"/>
    <w:basedOn w:val="Normal"/>
    <w:link w:val="EndnoteTextChar"/>
    <w:uiPriority w:val="99"/>
    <w:semiHidden/>
    <w:rsid w:val="00AC50E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C50E7"/>
    <w:rPr>
      <w:rFonts w:cs="Times New Roman"/>
      <w:sz w:val="20"/>
      <w:szCs w:val="20"/>
    </w:rPr>
  </w:style>
  <w:style w:type="character" w:styleId="EndnoteReference">
    <w:name w:val="endnote reference"/>
    <w:basedOn w:val="DefaultParagraphFont"/>
    <w:uiPriority w:val="99"/>
    <w:semiHidden/>
    <w:rsid w:val="00AC50E7"/>
    <w:rPr>
      <w:rFonts w:cs="Times New Roman"/>
      <w:vertAlign w:val="superscript"/>
    </w:rPr>
  </w:style>
  <w:style w:type="character" w:styleId="Hyperlink">
    <w:name w:val="Hyperlink"/>
    <w:basedOn w:val="DefaultParagraphFont"/>
    <w:uiPriority w:val="99"/>
    <w:semiHidden/>
    <w:rsid w:val="0086500B"/>
    <w:rPr>
      <w:rFonts w:cs="Times New Roman"/>
      <w:color w:val="0000FF"/>
      <w:u w:val="single"/>
    </w:rPr>
  </w:style>
  <w:style w:type="character" w:customStyle="1" w:styleId="CharChar">
    <w:name w:val="Char Char"/>
    <w:basedOn w:val="DefaultParagraphFont"/>
    <w:uiPriority w:val="99"/>
    <w:rsid w:val="00327658"/>
    <w:rPr>
      <w:rFonts w:cs="Times New Roman"/>
      <w:lang w:val="en-GB" w:eastAsia="en-GB" w:bidi="ar-SA"/>
    </w:rPr>
  </w:style>
  <w:style w:type="paragraph" w:styleId="Footer">
    <w:name w:val="footer"/>
    <w:basedOn w:val="Normal"/>
    <w:link w:val="FooterChar"/>
    <w:uiPriority w:val="99"/>
    <w:rsid w:val="00327658"/>
    <w:pPr>
      <w:tabs>
        <w:tab w:val="center" w:pos="4153"/>
        <w:tab w:val="right" w:pos="8306"/>
      </w:tabs>
    </w:pPr>
  </w:style>
  <w:style w:type="character" w:customStyle="1" w:styleId="FooterChar">
    <w:name w:val="Footer Char"/>
    <w:basedOn w:val="DefaultParagraphFont"/>
    <w:link w:val="Footer"/>
    <w:uiPriority w:val="99"/>
    <w:semiHidden/>
    <w:rsid w:val="003B2407"/>
  </w:style>
  <w:style w:type="character" w:styleId="PageNumber">
    <w:name w:val="page number"/>
    <w:basedOn w:val="DefaultParagraphFont"/>
    <w:uiPriority w:val="99"/>
    <w:rsid w:val="00327658"/>
    <w:rPr>
      <w:rFonts w:cs="Times New Roman"/>
    </w:rPr>
  </w:style>
  <w:style w:type="paragraph" w:styleId="NoSpacing">
    <w:name w:val="No Spacing"/>
    <w:uiPriority w:val="1"/>
    <w:qFormat/>
    <w:rsid w:val="00AD5900"/>
  </w:style>
  <w:style w:type="paragraph" w:styleId="Header">
    <w:name w:val="header"/>
    <w:basedOn w:val="Normal"/>
    <w:link w:val="HeaderChar"/>
    <w:uiPriority w:val="99"/>
    <w:semiHidden/>
    <w:unhideWhenUsed/>
    <w:rsid w:val="00AD5900"/>
    <w:pPr>
      <w:tabs>
        <w:tab w:val="center" w:pos="4513"/>
        <w:tab w:val="right" w:pos="9026"/>
      </w:tabs>
    </w:pPr>
  </w:style>
  <w:style w:type="character" w:customStyle="1" w:styleId="HeaderChar">
    <w:name w:val="Header Char"/>
    <w:basedOn w:val="DefaultParagraphFont"/>
    <w:link w:val="Header"/>
    <w:uiPriority w:val="99"/>
    <w:semiHidden/>
    <w:rsid w:val="00AD59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6002</Words>
  <Characters>34216</Characters>
  <Application>Microsoft Office Word</Application>
  <DocSecurity>0</DocSecurity>
  <Lines>285</Lines>
  <Paragraphs>80</Paragraphs>
  <ScaleCrop>false</ScaleCrop>
  <Company>HP</Company>
  <LinksUpToDate>false</LinksUpToDate>
  <CharactersWithSpaces>40138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Резолуција на Европскиот парламент од 14 јуни 2017 година за Извештајот на Комисијата за Република Македонија од  2016 година (2016/2310(INI))</dc:title>
  <dc:creator>Ivana</dc:creator>
  <cp:lastModifiedBy>mopasinova</cp:lastModifiedBy>
  <cp:revision>2</cp:revision>
  <cp:lastPrinted>2017-06-21T10:43:00Z</cp:lastPrinted>
  <dcterms:created xsi:type="dcterms:W3CDTF">2017-07-18T12:28:00Z</dcterms:created>
  <dcterms:modified xsi:type="dcterms:W3CDTF">2017-07-18T12:28:00Z</dcterms:modified>
</cp:coreProperties>
</file>